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right="0" w:rightChars="0" w:firstLine="0" w:firstLineChars="0"/>
        <w:jc w:val="both"/>
        <w:rPr>
          <w:rFonts w:hint="eastAsia" w:ascii="黑体" w:hAnsi="黑体" w:eastAsia="黑体" w:cs="黑体"/>
          <w:b w:val="0"/>
          <w:bCs w:val="0"/>
          <w:i w:val="0"/>
          <w:caps w:val="0"/>
          <w:color w:val="000000"/>
          <w:spacing w:val="0"/>
          <w:sz w:val="32"/>
          <w:szCs w:val="32"/>
          <w:shd w:val="clear" w:fill="FFFFFF"/>
          <w:lang w:val="en-US" w:eastAsia="zh-CN"/>
        </w:rPr>
      </w:pPr>
      <w:r>
        <w:rPr>
          <w:rFonts w:hint="eastAsia" w:ascii="黑体" w:hAnsi="黑体" w:eastAsia="黑体" w:cs="黑体"/>
          <w:b w:val="0"/>
          <w:bCs w:val="0"/>
          <w:i w:val="0"/>
          <w:caps w:val="0"/>
          <w:color w:val="000000"/>
          <w:spacing w:val="0"/>
          <w:sz w:val="32"/>
          <w:szCs w:val="32"/>
          <w:shd w:val="clear" w:fill="FFFFFF"/>
          <w:lang w:val="en-US" w:eastAsia="zh-CN"/>
        </w:rPr>
        <w:t>附件2</w:t>
      </w:r>
    </w:p>
    <w:p>
      <w:pPr>
        <w:ind w:left="0" w:leftChars="0" w:right="0" w:rightChars="0" w:firstLine="0" w:firstLineChars="0"/>
        <w:jc w:val="center"/>
        <w:rPr>
          <w:rFonts w:hint="eastAsia" w:asciiTheme="minorEastAsia" w:hAnsiTheme="minorEastAsia" w:cstheme="minorEastAsia"/>
          <w:b/>
          <w:bCs/>
          <w:i w:val="0"/>
          <w:caps w:val="0"/>
          <w:color w:val="000000"/>
          <w:spacing w:val="0"/>
          <w:sz w:val="44"/>
          <w:szCs w:val="44"/>
          <w:shd w:val="clear" w:fill="FFFFFF"/>
          <w:lang w:val="en-US" w:eastAsia="zh-CN"/>
        </w:rPr>
      </w:pPr>
    </w:p>
    <w:p>
      <w:pPr>
        <w:ind w:left="0" w:leftChars="0" w:right="0" w:rightChars="0" w:firstLine="0" w:firstLineChars="0"/>
        <w:jc w:val="center"/>
        <w:rPr>
          <w:rFonts w:hint="eastAsia" w:asciiTheme="minorEastAsia" w:hAnsiTheme="minorEastAsia" w:cstheme="minorEastAsia"/>
          <w:b/>
          <w:bCs/>
          <w:i w:val="0"/>
          <w:caps w:val="0"/>
          <w:color w:val="000000"/>
          <w:spacing w:val="0"/>
          <w:sz w:val="44"/>
          <w:szCs w:val="44"/>
          <w:shd w:val="clear" w:fill="FFFFFF"/>
          <w:lang w:val="en-US" w:eastAsia="zh-CN"/>
        </w:rPr>
      </w:pPr>
      <w:r>
        <w:rPr>
          <w:rFonts w:hint="eastAsia" w:asciiTheme="minorEastAsia" w:hAnsiTheme="minorEastAsia" w:cstheme="minorEastAsia"/>
          <w:b/>
          <w:bCs/>
          <w:i w:val="0"/>
          <w:caps w:val="0"/>
          <w:color w:val="000000"/>
          <w:spacing w:val="0"/>
          <w:sz w:val="44"/>
          <w:szCs w:val="44"/>
          <w:shd w:val="clear" w:fill="FFFFFF"/>
          <w:lang w:val="en-US" w:eastAsia="zh-CN"/>
        </w:rPr>
        <w:t>标题：XX部门/学院关于本科教学工作</w:t>
      </w:r>
    </w:p>
    <w:p>
      <w:pPr>
        <w:ind w:left="0" w:leftChars="0" w:right="0" w:rightChars="0" w:firstLine="0" w:firstLineChars="0"/>
        <w:jc w:val="center"/>
        <w:rPr>
          <w:b/>
          <w:bCs/>
          <w:sz w:val="44"/>
          <w:szCs w:val="44"/>
        </w:rPr>
      </w:pPr>
      <w:r>
        <w:rPr>
          <w:rFonts w:hint="eastAsia" w:asciiTheme="minorEastAsia" w:hAnsiTheme="minorEastAsia" w:cstheme="minorEastAsia"/>
          <w:b/>
          <w:bCs/>
          <w:i w:val="0"/>
          <w:caps w:val="0"/>
          <w:color w:val="000000"/>
          <w:spacing w:val="0"/>
          <w:sz w:val="44"/>
          <w:szCs w:val="44"/>
          <w:shd w:val="clear" w:fill="FFFFFF"/>
          <w:lang w:val="en-US" w:eastAsia="zh-CN"/>
        </w:rPr>
        <w:t>审核评估</w:t>
      </w:r>
      <w:r>
        <w:rPr>
          <w:rFonts w:hint="eastAsia" w:asciiTheme="minorEastAsia" w:hAnsiTheme="minorEastAsia" w:cstheme="minorEastAsia"/>
          <w:b/>
          <w:bCs/>
          <w:i w:val="0"/>
          <w:caps w:val="0"/>
          <w:color w:val="000000"/>
          <w:spacing w:val="0"/>
          <w:sz w:val="44"/>
          <w:szCs w:val="44"/>
          <w:shd w:val="clear" w:fill="FFFFFF"/>
          <w:lang w:eastAsia="zh-CN"/>
        </w:rPr>
        <w:t>落实整改工作报告</w:t>
      </w:r>
    </w:p>
    <w:p>
      <w:pP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2017年10月30日至11月3日，江苏省教育厅委托江苏省教育评估院组织专家组对我校进行了本科教学工作审核评估现场考察。专家组在充分肯定我校办学成绩的同时，也实事求是地指出了存在的问题，为学校进一步发展提出了中肯的建议。学校高度重视专家组的意见和建议。为顺利完成审核评估下一阶段的整改工作，巩固评建成果，全面深化教育教学改革，推动本科教学和人才培养工作持续改进，制定</w:t>
      </w:r>
      <w:r>
        <w:rPr>
          <w:rFonts w:hint="eastAsia" w:ascii="仿宋" w:hAnsi="仿宋" w:eastAsia="仿宋" w:cs="仿宋"/>
          <w:sz w:val="32"/>
          <w:szCs w:val="32"/>
        </w:rPr>
        <w:t>了审核评估整改方案和任务分解书，</w:t>
      </w:r>
      <w:r>
        <w:rPr>
          <w:rFonts w:hint="eastAsia" w:ascii="仿宋" w:hAnsi="仿宋" w:eastAsia="仿宋" w:cs="仿宋"/>
          <w:sz w:val="32"/>
          <w:szCs w:val="32"/>
          <w:lang w:val="en-US" w:eastAsia="zh-CN"/>
        </w:rPr>
        <w:t>XX</w:t>
      </w:r>
      <w:r>
        <w:rPr>
          <w:rFonts w:hint="eastAsia" w:ascii="仿宋" w:hAnsi="仿宋" w:eastAsia="仿宋" w:cs="仿宋"/>
          <w:sz w:val="32"/>
          <w:szCs w:val="32"/>
        </w:rPr>
        <w:t>部门</w:t>
      </w:r>
      <w:r>
        <w:rPr>
          <w:rFonts w:hint="eastAsia" w:ascii="仿宋" w:hAnsi="仿宋" w:eastAsia="仿宋" w:cs="仿宋"/>
          <w:sz w:val="32"/>
          <w:szCs w:val="32"/>
          <w:lang w:val="en-US" w:eastAsia="zh-CN"/>
        </w:rPr>
        <w:t>/学院</w:t>
      </w:r>
      <w:r>
        <w:rPr>
          <w:rFonts w:hint="eastAsia" w:ascii="仿宋" w:hAnsi="仿宋" w:eastAsia="仿宋" w:cs="仿宋"/>
          <w:sz w:val="32"/>
          <w:szCs w:val="32"/>
        </w:rPr>
        <w:t>认真研究和落实了本科教学审核评估整改工作。现将本科教学审核评估整改工作情况汇报如下：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rPr>
        <w:t>一、</w:t>
      </w:r>
      <w:r>
        <w:rPr>
          <w:rFonts w:hint="eastAsia" w:ascii="黑体" w:hAnsi="黑体" w:eastAsia="黑体" w:cs="黑体"/>
          <w:sz w:val="32"/>
          <w:szCs w:val="32"/>
          <w:lang w:eastAsia="zh-CN"/>
        </w:rPr>
        <w:t>存在的问题与整改的内容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正文字体：仿宋三号。</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正文段落：首行缩进2字符，不得使用空格键缩进，段前段后0行，单倍行间距。</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二、整改工作基本思路</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同上</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三、</w:t>
      </w:r>
      <w:r>
        <w:rPr>
          <w:rFonts w:hint="eastAsia" w:ascii="黑体" w:hAnsi="黑体" w:eastAsia="黑体" w:cs="黑体"/>
          <w:sz w:val="32"/>
          <w:szCs w:val="32"/>
        </w:rPr>
        <w:t>整改工作重点</w:t>
      </w:r>
      <w:r>
        <w:rPr>
          <w:rFonts w:hint="eastAsia" w:ascii="黑体" w:hAnsi="黑体" w:eastAsia="黑体" w:cs="黑体"/>
          <w:sz w:val="32"/>
          <w:szCs w:val="32"/>
          <w:lang w:eastAsia="zh-CN"/>
        </w:rPr>
        <w:t>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同上</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宋体" w:hAnsi="宋体" w:eastAsia="宋体" w:cs="仿宋"/>
          <w:color w:val="000000"/>
          <w:sz w:val="28"/>
          <w:szCs w:val="28"/>
        </w:rPr>
      </w:pPr>
      <w:r>
        <w:rPr>
          <w:rFonts w:hint="eastAsia" w:ascii="黑体" w:hAnsi="黑体" w:eastAsia="黑体" w:cs="黑体"/>
          <w:sz w:val="32"/>
          <w:szCs w:val="32"/>
          <w:lang w:eastAsia="zh-CN"/>
        </w:rPr>
        <w:t>四、整改</w:t>
      </w:r>
      <w:r>
        <w:rPr>
          <w:rFonts w:hint="eastAsia" w:ascii="黑体" w:hAnsi="黑体" w:eastAsia="黑体" w:cs="黑体"/>
          <w:sz w:val="32"/>
          <w:szCs w:val="32"/>
        </w:rPr>
        <w:t>主要措施(典型事例及数据)</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同上</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五、整改成效</w:t>
      </w:r>
      <w:r>
        <w:rPr>
          <w:rFonts w:hint="eastAsia" w:ascii="黑体" w:hAnsi="黑体" w:eastAsia="黑体" w:cs="黑体"/>
          <w:sz w:val="32"/>
          <w:szCs w:val="32"/>
        </w:rPr>
        <w:t>(典型事例及数据)</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同上</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六、今后努力的方向</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同上</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七、</w:t>
      </w:r>
      <w:bookmarkStart w:id="0" w:name="_GoBack"/>
      <w:bookmarkEnd w:id="0"/>
      <w:r>
        <w:rPr>
          <w:rFonts w:hint="eastAsia" w:ascii="黑体" w:hAnsi="黑体" w:eastAsia="黑体" w:cs="黑体"/>
          <w:sz w:val="32"/>
          <w:szCs w:val="32"/>
          <w:lang w:eastAsia="zh-CN"/>
        </w:rPr>
        <w:t>情况说明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同上</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总之，</w:t>
      </w:r>
      <w:r>
        <w:rPr>
          <w:rFonts w:hint="eastAsia" w:ascii="仿宋" w:hAnsi="仿宋" w:eastAsia="仿宋" w:cs="仿宋"/>
          <w:sz w:val="32"/>
          <w:szCs w:val="32"/>
          <w:lang w:val="en-US" w:eastAsia="zh-CN"/>
        </w:rPr>
        <w:t>XX</w:t>
      </w:r>
      <w:r>
        <w:rPr>
          <w:rFonts w:hint="eastAsia" w:ascii="仿宋" w:hAnsi="仿宋" w:eastAsia="仿宋" w:cs="仿宋"/>
          <w:sz w:val="32"/>
          <w:szCs w:val="32"/>
        </w:rPr>
        <w:t>部门</w:t>
      </w:r>
      <w:r>
        <w:rPr>
          <w:rFonts w:hint="eastAsia" w:ascii="仿宋" w:hAnsi="仿宋" w:eastAsia="仿宋" w:cs="仿宋"/>
          <w:sz w:val="32"/>
          <w:szCs w:val="32"/>
          <w:lang w:val="en-US" w:eastAsia="zh-CN"/>
        </w:rPr>
        <w:t>/学院</w:t>
      </w:r>
      <w:r>
        <w:rPr>
          <w:rFonts w:hint="eastAsia" w:ascii="仿宋" w:hAnsi="仿宋" w:eastAsia="仿宋" w:cs="仿宋"/>
          <w:sz w:val="32"/>
          <w:szCs w:val="32"/>
        </w:rPr>
        <w:t>积极采纳评估专家组的意见和建议，加强……………，取得了明显的成效。同时，我们深知在新的形势下，我校面临的挑战更艰巨，任务更繁重，必须继续发扬顽强拼搏、不断进取的精神，牢固树立质量意识，狠抓质量工程,促进教学质量的不断持续改进，教风、学风、作风的不断改善，不断提升学校的办学能力和办学水平，以优异的成绩完成审核评估整改工作，为建设国际知名、特色鲜明的高水平研究型医科大学而不懈努力！</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2240" w:firstLineChars="700"/>
        <w:textAlignment w:val="auto"/>
        <w:outlineLvl w:val="9"/>
        <w:rPr>
          <w:rFonts w:hint="eastAsia" w:ascii="仿宋" w:hAnsi="仿宋" w:eastAsia="仿宋" w:cs="仿宋"/>
          <w:sz w:val="32"/>
          <w:szCs w:val="32"/>
        </w:rPr>
      </w:pPr>
      <w:r>
        <w:rPr>
          <w:rFonts w:hint="eastAsia" w:ascii="仿宋" w:hAnsi="仿宋" w:eastAsia="仿宋" w:cs="仿宋"/>
          <w:sz w:val="32"/>
          <w:szCs w:val="32"/>
        </w:rPr>
        <w:t>部门</w:t>
      </w:r>
      <w:r>
        <w:rPr>
          <w:rFonts w:hint="eastAsia" w:ascii="仿宋" w:hAnsi="仿宋" w:eastAsia="仿宋" w:cs="仿宋"/>
          <w:sz w:val="32"/>
          <w:szCs w:val="32"/>
          <w:lang w:val="en-US" w:eastAsia="zh-CN"/>
        </w:rPr>
        <w:t>/学院</w:t>
      </w:r>
      <w:r>
        <w:rPr>
          <w:rFonts w:hint="eastAsia" w:ascii="仿宋" w:hAnsi="仿宋" w:eastAsia="仿宋" w:cs="仿宋"/>
          <w:sz w:val="32"/>
          <w:szCs w:val="32"/>
        </w:rPr>
        <w:t>负责人：          （签字 盖章）</w:t>
      </w:r>
    </w:p>
    <w:p>
      <w:pPr>
        <w:keepNext w:val="0"/>
        <w:keepLines w:val="0"/>
        <w:pageBreakBefore w:val="0"/>
        <w:widowControl w:val="0"/>
        <w:kinsoku/>
        <w:wordWrap/>
        <w:overflowPunct/>
        <w:topLinePunct w:val="0"/>
        <w:autoSpaceDE/>
        <w:autoSpaceDN/>
        <w:bidi w:val="0"/>
        <w:adjustRightInd/>
        <w:snapToGrid/>
        <w:ind w:firstLine="4160" w:firstLineChars="1300"/>
        <w:textAlignment w:val="auto"/>
        <w:outlineLvl w:val="9"/>
        <w:rPr>
          <w:rFonts w:hint="eastAsia" w:ascii="仿宋" w:hAnsi="仿宋" w:eastAsia="仿宋" w:cs="仿宋"/>
          <w:sz w:val="32"/>
          <w:szCs w:val="32"/>
        </w:rPr>
      </w:pPr>
      <w:r>
        <w:rPr>
          <w:rFonts w:hint="eastAsia" w:ascii="仿宋" w:hAnsi="仿宋" w:eastAsia="仿宋" w:cs="仿宋"/>
          <w:sz w:val="32"/>
          <w:szCs w:val="32"/>
        </w:rPr>
        <w:t>2018年</w:t>
      </w:r>
      <w:r>
        <w:rPr>
          <w:rFonts w:hint="eastAsia" w:ascii="仿宋" w:hAnsi="仿宋" w:eastAsia="仿宋" w:cs="仿宋"/>
          <w:sz w:val="32"/>
          <w:szCs w:val="32"/>
          <w:lang w:val="en-US" w:eastAsia="zh-CN"/>
        </w:rPr>
        <w:t>11</w:t>
      </w:r>
      <w:r>
        <w:rPr>
          <w:rFonts w:hint="eastAsia" w:ascii="仿宋" w:hAnsi="仿宋" w:eastAsia="仿宋" w:cs="仿宋"/>
          <w:sz w:val="32"/>
          <w:szCs w:val="32"/>
        </w:rPr>
        <w:t>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MS PMincho">
    <w:panose1 w:val="02020600040205080304"/>
    <w:charset w:val="80"/>
    <w:family w:val="auto"/>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331FEB"/>
    <w:rsid w:val="4B331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Office_11.1.0.7849_F1E327BC-269C-435d-A152-05C5408002CA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2018-10-22T01:52:00Z</dcterms:created>
  <dc:creator>钱文溢</dc:creator>
  <cp:lastModifiedBy>钱文溢</cp:lastModifiedBy>
  <dcterms:modified xsi:type="dcterms:W3CDTF">2018-10-22T02:55:45Z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2052-11.1.0.7849</vt:lpwstr>
  </property>
</Properties>
</file>